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B286C">
      <w:pPr>
        <w:spacing w:line="360" w:lineRule="auto"/>
        <w:ind w:right="849"/>
        <w:jc w:val="center"/>
        <w:rPr>
          <w:rFonts w:ascii="Times New Roman" w:hAnsi="Times New Roman" w:cs="Times New Roman"/>
        </w:rPr>
      </w:pPr>
      <w:r>
        <w:rPr>
          <w:rFonts w:ascii="Calibri" w:hAnsi="Calibri" w:eastAsia="Calibri" w:cs="Times New Roman"/>
          <w:lang w:eastAsia="it-IT"/>
        </w:rPr>
        <w:drawing>
          <wp:inline distT="0" distB="0" distL="0" distR="0">
            <wp:extent cx="771525" cy="866775"/>
            <wp:effectExtent l="0" t="0" r="0" b="0"/>
            <wp:docPr id="1"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emblema_gr_smal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71525" cy="866775"/>
                    </a:xfrm>
                    <a:prstGeom prst="rect">
                      <a:avLst/>
                    </a:prstGeom>
                    <a:noFill/>
                    <a:ln>
                      <a:noFill/>
                    </a:ln>
                  </pic:spPr>
                </pic:pic>
              </a:graphicData>
            </a:graphic>
          </wp:inline>
        </w:drawing>
      </w:r>
    </w:p>
    <w:p w14:paraId="5FCCD43F">
      <w:pPr>
        <w:spacing w:after="0" w:line="360" w:lineRule="auto"/>
        <w:ind w:right="849"/>
        <w:contextualSpacing/>
        <w:jc w:val="center"/>
        <w:rPr>
          <w:rFonts w:ascii="Times New Roman" w:hAnsi="Times New Roman" w:eastAsia="Calibri" w:cs="Times New Roman"/>
          <w:b/>
        </w:rPr>
      </w:pPr>
      <w:r>
        <w:rPr>
          <w:rFonts w:ascii="Times New Roman" w:hAnsi="Times New Roman" w:eastAsia="Calibri" w:cs="Times New Roman"/>
          <w:b/>
        </w:rPr>
        <w:t>TRIBUNALE DI BRINDISI</w:t>
      </w:r>
    </w:p>
    <w:p w14:paraId="3865AC52">
      <w:pPr>
        <w:spacing w:after="0" w:line="360" w:lineRule="auto"/>
        <w:ind w:right="849"/>
        <w:contextualSpacing/>
        <w:jc w:val="center"/>
        <w:rPr>
          <w:rFonts w:ascii="Times New Roman" w:hAnsi="Times New Roman" w:eastAsia="Arial Unicode MS" w:cs="Times New Roman"/>
          <w:b/>
          <w:i/>
        </w:rPr>
      </w:pPr>
      <w:r>
        <w:rPr>
          <w:rFonts w:ascii="Times New Roman" w:hAnsi="Times New Roman" w:eastAsia="Arial Unicode MS" w:cs="Times New Roman"/>
          <w:b/>
          <w:i/>
        </w:rPr>
        <w:t>Sezione civile – Settore esecuzioni immobiliari</w:t>
      </w:r>
    </w:p>
    <w:p w14:paraId="404A0ED9">
      <w:pPr>
        <w:spacing w:line="360" w:lineRule="auto"/>
        <w:ind w:right="849"/>
        <w:jc w:val="center"/>
        <w:rPr>
          <w:rFonts w:ascii="Times New Roman" w:hAnsi="Times New Roman" w:eastAsia="Arial Unicode MS" w:cs="Times New Roman"/>
          <w:b/>
          <w:i/>
        </w:rPr>
      </w:pPr>
      <w:r>
        <w:rPr>
          <w:rFonts w:ascii="Times New Roman" w:hAnsi="Times New Roman" w:eastAsia="Arial Unicode MS" w:cs="Times New Roman"/>
          <w:b/>
          <w:i/>
        </w:rPr>
        <w:t>Proc. Esec. Imm. n. $$numero_ruolo$$/$$anno_ruolo$$</w:t>
      </w:r>
    </w:p>
    <w:p w14:paraId="3CEB1E40">
      <w:pPr>
        <w:spacing w:after="0" w:line="360" w:lineRule="auto"/>
        <w:contextualSpacing/>
        <w:jc w:val="center"/>
        <w:rPr>
          <w:rFonts w:ascii="Times New Roman" w:hAnsi="Times New Roman" w:eastAsia="Arial Unicode MS" w:cs="Times New Roman"/>
        </w:rPr>
      </w:pPr>
      <w:r>
        <w:rPr>
          <w:rFonts w:ascii="Times New Roman" w:hAnsi="Times New Roman" w:eastAsia="Arial Unicode MS" w:cs="Times New Roman"/>
        </w:rPr>
        <w:t>Il Giudice dell’Esecuzione dott. $$nome_giudice$$ $$cognome_giudice$$ ,</w:t>
      </w:r>
    </w:p>
    <w:p w14:paraId="22F45704">
      <w:pPr>
        <w:spacing w:after="0" w:line="360" w:lineRule="auto"/>
        <w:contextualSpacing/>
        <w:jc w:val="both"/>
        <w:rPr>
          <w:rFonts w:ascii="Times New Roman" w:hAnsi="Times New Roman" w:eastAsia="Arial Unicode MS" w:cs="Times New Roman"/>
        </w:rPr>
      </w:pPr>
      <w:r>
        <w:rPr>
          <w:rFonts w:ascii="Times New Roman" w:hAnsi="Times New Roman" w:eastAsia="Arial Unicode MS" w:cs="Times New Roman"/>
        </w:rPr>
        <w:t>a scioglimento della riserva  assunta all’udienza del $$data_evento$$ ;</w:t>
      </w:r>
    </w:p>
    <w:p w14:paraId="5AA26A33">
      <w:pPr>
        <w:spacing w:after="0" w:line="360" w:lineRule="auto"/>
        <w:contextualSpacing/>
        <w:jc w:val="both"/>
        <w:rPr>
          <w:rFonts w:ascii="Times New Roman" w:hAnsi="Times New Roman" w:eastAsia="Arial Unicode MS" w:cs="Times New Roman"/>
        </w:rPr>
      </w:pPr>
      <w:r>
        <w:rPr>
          <w:rFonts w:ascii="Times New Roman" w:hAnsi="Times New Roman" w:eastAsia="Arial Unicode MS" w:cs="Times New Roman"/>
          <w:b/>
          <w:bCs/>
        </w:rPr>
        <w:t>esaminati</w:t>
      </w:r>
      <w:r>
        <w:rPr>
          <w:rFonts w:ascii="Times New Roman" w:hAnsi="Times New Roman" w:eastAsia="Arial Unicode MS" w:cs="Times New Roman"/>
        </w:rPr>
        <w:t xml:space="preserve"> gli atti di causa e </w:t>
      </w:r>
    </w:p>
    <w:p w14:paraId="4BA8925D">
      <w:pPr>
        <w:spacing w:after="0" w:line="360" w:lineRule="auto"/>
        <w:contextualSpacing/>
        <w:jc w:val="both"/>
        <w:rPr>
          <w:rFonts w:ascii="Times New Roman" w:hAnsi="Times New Roman" w:eastAsia="Arial Unicode MS" w:cs="Times New Roman"/>
        </w:rPr>
      </w:pPr>
      <w:r>
        <w:rPr>
          <w:rFonts w:ascii="Times New Roman" w:hAnsi="Times New Roman" w:eastAsia="Arial Unicode MS" w:cs="Times New Roman"/>
        </w:rPr>
        <w:t xml:space="preserve">premesso che risultano pignorate quote indivise di immobili e che il debitore esecutato $$nome_debitore$$ $$cognome_debitore$$ è titolare </w:t>
      </w:r>
      <w:r>
        <w:rPr>
          <w:rFonts w:ascii="Times New Roman" w:hAnsi="Times New Roman" w:eastAsia="Arial Unicode MS" w:cs="Times New Roman"/>
          <w:i/>
          <w:iCs/>
        </w:rPr>
        <w:t>pro quota</w:t>
      </w:r>
      <w:r>
        <w:rPr>
          <w:rFonts w:ascii="Times New Roman" w:hAnsi="Times New Roman" w:eastAsia="Arial Unicode MS" w:cs="Times New Roman"/>
        </w:rPr>
        <w:t xml:space="preserve">, unitamente agli altri comproprietari; </w:t>
      </w:r>
    </w:p>
    <w:p w14:paraId="0898D21C">
      <w:pPr>
        <w:spacing w:after="0" w:line="360" w:lineRule="auto"/>
        <w:contextualSpacing/>
        <w:jc w:val="both"/>
        <w:rPr>
          <w:rFonts w:ascii="Times New Roman" w:hAnsi="Times New Roman" w:eastAsia="Arial Unicode MS" w:cs="Times New Roman"/>
        </w:rPr>
      </w:pPr>
      <w:r>
        <w:rPr>
          <w:rFonts w:ascii="Times New Roman" w:hAnsi="Times New Roman" w:eastAsia="Arial Unicode MS" w:cs="Times New Roman"/>
        </w:rPr>
        <w:t>considerato che non è possibile procedere alla separazione della quota in natura spettante al debitore;</w:t>
      </w:r>
    </w:p>
    <w:p w14:paraId="55218E22">
      <w:pPr>
        <w:pStyle w:val="5"/>
        <w:spacing w:after="243" w:line="360" w:lineRule="auto"/>
        <w:jc w:val="both"/>
        <w:rPr>
          <w:rFonts w:ascii="Times New Roman" w:hAnsi="Times New Roman" w:cs="Times New Roman"/>
          <w:sz w:val="22"/>
          <w:szCs w:val="22"/>
        </w:rPr>
      </w:pPr>
      <w:r>
        <w:rPr>
          <w:rFonts w:ascii="Times New Roman" w:hAnsi="Times New Roman" w:cs="Times New Roman"/>
          <w:sz w:val="22"/>
          <w:szCs w:val="22"/>
        </w:rPr>
        <w:t xml:space="preserve">rilevato che non sono comparsi tutti i soggetti interessati alla divisione dei cespiti, sebbene tutti avvisati a norma dell’art. 599 c.p.c.; </w:t>
      </w:r>
    </w:p>
    <w:p w14:paraId="34507957">
      <w:pPr>
        <w:spacing w:after="0" w:line="360" w:lineRule="auto"/>
        <w:contextualSpacing/>
        <w:jc w:val="both"/>
        <w:rPr>
          <w:rFonts w:ascii="Times New Roman" w:hAnsi="Times New Roman" w:eastAsia="Arial Unicode MS" w:cs="Times New Roman"/>
        </w:rPr>
      </w:pPr>
      <w:r>
        <w:rPr>
          <w:rFonts w:ascii="Times New Roman" w:hAnsi="Times New Roman" w:eastAsia="Arial Unicode MS" w:cs="Times New Roman"/>
        </w:rPr>
        <w:t>rilevato che il creditore procedente ha chiesto procedersi alla divisione a norma del codice civile;</w:t>
      </w:r>
    </w:p>
    <w:p w14:paraId="0E4BBE5F">
      <w:pPr>
        <w:spacing w:after="0" w:line="360" w:lineRule="auto"/>
        <w:ind w:right="849"/>
        <w:contextualSpacing/>
        <w:jc w:val="center"/>
        <w:rPr>
          <w:rFonts w:ascii="Times New Roman" w:hAnsi="Times New Roman" w:eastAsia="Arial Unicode MS" w:cs="Times New Roman"/>
        </w:rPr>
      </w:pPr>
      <w:r>
        <w:rPr>
          <w:rFonts w:ascii="Times New Roman" w:hAnsi="Times New Roman" w:eastAsia="Arial Unicode MS" w:cs="Times New Roman"/>
          <w:b/>
          <w:bCs/>
        </w:rPr>
        <w:t>OSSERVA</w:t>
      </w:r>
    </w:p>
    <w:p w14:paraId="09641EE3">
      <w:pPr>
        <w:pStyle w:val="5"/>
        <w:spacing w:after="243" w:line="360" w:lineRule="auto"/>
        <w:jc w:val="both"/>
        <w:rPr>
          <w:rFonts w:ascii="Times New Roman" w:hAnsi="Times New Roman" w:cs="Times New Roman"/>
          <w:sz w:val="22"/>
          <w:szCs w:val="22"/>
        </w:rPr>
      </w:pPr>
      <w:r>
        <w:rPr>
          <w:rFonts w:ascii="Times New Roman" w:hAnsi="Times New Roman" w:cs="Times New Roman"/>
          <w:sz w:val="22"/>
          <w:szCs w:val="22"/>
        </w:rPr>
        <w:t>come detto, non si può procedere alla separazione in natura della porzione spettante al debitore, considerata la conformazione e la natura del bene.</w:t>
      </w:r>
    </w:p>
    <w:p w14:paraId="27869837">
      <w:pPr>
        <w:pStyle w:val="5"/>
        <w:spacing w:after="243" w:line="360" w:lineRule="auto"/>
        <w:jc w:val="both"/>
        <w:rPr>
          <w:rFonts w:ascii="Times New Roman" w:hAnsi="Times New Roman" w:cs="Times New Roman"/>
          <w:sz w:val="22"/>
          <w:szCs w:val="22"/>
        </w:rPr>
      </w:pPr>
      <w:r>
        <w:rPr>
          <w:rFonts w:ascii="Times New Roman" w:hAnsi="Times New Roman" w:cs="Times New Roman"/>
          <w:sz w:val="22"/>
          <w:szCs w:val="22"/>
        </w:rPr>
        <w:t>Inoltre la vendita della quota indivisa di un bene immobile difficilmente trova collocazione sul mercato e, spesso, gli unici interessati al suo acquisto sono i contitolari del diritto reale, i quali attendono che il prezzo divenga, all’esito di diserzioni di incanto, particolarmente esiguo.</w:t>
      </w:r>
    </w:p>
    <w:p w14:paraId="44F11D5C">
      <w:pPr>
        <w:pStyle w:val="5"/>
        <w:spacing w:after="243" w:line="360" w:lineRule="auto"/>
        <w:jc w:val="both"/>
        <w:rPr>
          <w:rFonts w:ascii="Times New Roman" w:hAnsi="Times New Roman" w:cs="Times New Roman"/>
          <w:sz w:val="22"/>
          <w:szCs w:val="22"/>
        </w:rPr>
      </w:pPr>
      <w:r>
        <w:rPr>
          <w:rFonts w:ascii="Times New Roman" w:hAnsi="Times New Roman" w:cs="Times New Roman"/>
          <w:sz w:val="22"/>
          <w:szCs w:val="22"/>
        </w:rPr>
        <w:t>Peraltro, è dato di comune esperienza che gli oneri e i tempi connessi alla vendita della quota pregiudica sia il diritto dei creditori a soddisfare i propri crediti, sia il diritto del debitore a soddisfarsi sull’eventuale residuo, a solo vantaggio di speculazioni operate da terzi estranei alla procedura.</w:t>
      </w:r>
    </w:p>
    <w:p w14:paraId="4F1827D2">
      <w:pPr>
        <w:pStyle w:val="5"/>
        <w:spacing w:after="243" w:line="360" w:lineRule="auto"/>
        <w:jc w:val="both"/>
        <w:rPr>
          <w:rFonts w:ascii="Times New Roman" w:hAnsi="Times New Roman" w:cs="Times New Roman"/>
          <w:sz w:val="22"/>
          <w:szCs w:val="22"/>
        </w:rPr>
      </w:pPr>
      <w:r>
        <w:rPr>
          <w:rFonts w:ascii="Times New Roman" w:hAnsi="Times New Roman" w:cs="Times New Roman"/>
          <w:sz w:val="22"/>
          <w:szCs w:val="22"/>
        </w:rPr>
        <w:t>Da quanto innanzi, si desume che appare improbabile che dalla vendita di quote indivise possa trarsi un ricavato pari o superiore al loro effettivo valore commerciale e che dunque la richiesta di provvedere al giudizio di divisione avanzata dal creditore, va senz’altro accolta.</w:t>
      </w:r>
    </w:p>
    <w:p w14:paraId="5FA50B97">
      <w:pPr>
        <w:pStyle w:val="5"/>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Va infine rilevato che la presente ordinanza, in quanto atto idoneo a integrare il contraddittorio tra le parti, presenti un contenuto sostanziale equiparabile alla domanda giudiziale </w:t>
      </w:r>
      <w:r>
        <w:rPr>
          <w:rFonts w:ascii="Times New Roman" w:hAnsi="Times New Roman" w:cs="Times New Roman"/>
          <w:i/>
          <w:iCs/>
          <w:sz w:val="22"/>
          <w:szCs w:val="22"/>
        </w:rPr>
        <w:t xml:space="preserve">ex </w:t>
      </w:r>
      <w:r>
        <w:rPr>
          <w:rFonts w:ascii="Times New Roman" w:hAnsi="Times New Roman" w:cs="Times New Roman"/>
          <w:sz w:val="22"/>
          <w:szCs w:val="22"/>
        </w:rPr>
        <w:t xml:space="preserve">artt. 1113 e 2646 c.c. </w:t>
      </w:r>
    </w:p>
    <w:p w14:paraId="7A0554A1">
      <w:pPr>
        <w:pStyle w:val="5"/>
        <w:spacing w:line="360" w:lineRule="auto"/>
        <w:jc w:val="both"/>
        <w:rPr>
          <w:rFonts w:ascii="Times New Roman" w:hAnsi="Times New Roman" w:cs="Times New Roman"/>
          <w:i/>
          <w:iCs/>
          <w:sz w:val="22"/>
          <w:szCs w:val="22"/>
        </w:rPr>
      </w:pPr>
      <w:r>
        <w:rPr>
          <w:rFonts w:ascii="Times New Roman" w:hAnsi="Times New Roman" w:cs="Times New Roman"/>
          <w:b/>
          <w:bCs/>
          <w:i/>
          <w:iCs/>
          <w:sz w:val="22"/>
          <w:szCs w:val="22"/>
        </w:rPr>
        <w:t>visti</w:t>
      </w:r>
      <w:r>
        <w:rPr>
          <w:rFonts w:ascii="Times New Roman" w:hAnsi="Times New Roman" w:cs="Times New Roman"/>
          <w:i/>
          <w:iCs/>
          <w:sz w:val="22"/>
          <w:szCs w:val="22"/>
        </w:rPr>
        <w:t xml:space="preserve"> gli artt. 600, 601 e 626 c.p.c., 181 disp. att. c.p.c. e 281-undecies c.p.c., </w:t>
      </w:r>
    </w:p>
    <w:p w14:paraId="0519E676">
      <w:pPr>
        <w:pStyle w:val="5"/>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t>SOSPENDE</w:t>
      </w:r>
    </w:p>
    <w:p w14:paraId="68CA29AF">
      <w:pPr>
        <w:pStyle w:val="5"/>
        <w:spacing w:line="360" w:lineRule="auto"/>
        <w:jc w:val="both"/>
        <w:rPr>
          <w:rFonts w:ascii="Times New Roman" w:hAnsi="Times New Roman" w:cs="Times New Roman"/>
          <w:sz w:val="22"/>
          <w:szCs w:val="22"/>
        </w:rPr>
      </w:pPr>
      <w:r>
        <w:rPr>
          <w:rFonts w:ascii="Times New Roman" w:hAnsi="Times New Roman" w:cs="Times New Roman"/>
          <w:sz w:val="22"/>
          <w:szCs w:val="22"/>
        </w:rPr>
        <w:t>la presente procedura esecutiva ai sensi dell’art. 601 c.p.c. sino alla definizione del giudizio di divisione/ dispone che la presente procedura prosegua limitatamente agli immobili pignorati per intero;</w:t>
      </w:r>
    </w:p>
    <w:p w14:paraId="635833A7">
      <w:pPr>
        <w:pStyle w:val="5"/>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t>DISPONE</w:t>
      </w:r>
    </w:p>
    <w:p w14:paraId="3B4316E3">
      <w:pPr>
        <w:pStyle w:val="5"/>
        <w:spacing w:line="360" w:lineRule="auto"/>
        <w:jc w:val="both"/>
        <w:rPr>
          <w:rFonts w:ascii="Times New Roman" w:hAnsi="Times New Roman" w:eastAsia="Times New Roman" w:cs="Times New Roman"/>
          <w:bCs/>
          <w:sz w:val="22"/>
          <w:szCs w:val="22"/>
          <w:lang w:eastAsia="it-IT"/>
        </w:rPr>
      </w:pPr>
      <w:r>
        <w:rPr>
          <w:rFonts w:ascii="Times New Roman" w:hAnsi="Times New Roman" w:eastAsia="Times New Roman" w:cs="Times New Roman"/>
          <w:bCs/>
          <w:sz w:val="22"/>
          <w:szCs w:val="22"/>
          <w:lang w:eastAsia="it-IT"/>
        </w:rPr>
        <w:t>che si proceda a norma del codice civile alla divisione dei seguenti immobili pignorati:</w:t>
      </w:r>
    </w:p>
    <w:p w14:paraId="1F54E756">
      <w:pPr>
        <w:spacing w:after="0" w:line="360" w:lineRule="auto"/>
        <w:jc w:val="both"/>
        <w:rPr>
          <w:rFonts w:ascii="Times New Roman" w:hAnsi="Times New Roman" w:eastAsia="Times New Roman" w:cs="Times New Roman"/>
          <w:bCs/>
          <w:lang w:eastAsia="it-IT"/>
        </w:rPr>
      </w:pPr>
      <w:r>
        <w:rPr>
          <w:rFonts w:ascii="Times New Roman" w:hAnsi="Times New Roman" w:eastAsia="Times New Roman" w:cs="Times New Roman"/>
          <w:bCs/>
          <w:lang w:eastAsia="it-IT"/>
        </w:rPr>
        <w:t>LOTTO Unico / numero __:</w:t>
      </w:r>
    </w:p>
    <w:p w14:paraId="07654E06">
      <w:pPr>
        <w:widowControl w:val="0"/>
        <w:numPr>
          <w:ilvl w:val="0"/>
          <w:numId w:val="1"/>
        </w:numPr>
        <w:spacing w:after="0" w:line="360" w:lineRule="auto"/>
        <w:contextualSpacing/>
        <w:jc w:val="both"/>
        <w:rPr>
          <w:rFonts w:ascii="Times New Roman" w:hAnsi="Times New Roman" w:eastAsia="Times New Roman" w:cs="Times New Roman"/>
          <w:b/>
          <w:color w:val="000000"/>
          <w:lang w:eastAsia="it-IT"/>
        </w:rPr>
      </w:pPr>
      <w:r>
        <w:rPr>
          <w:rFonts w:ascii="Times New Roman" w:hAnsi="Times New Roman" w:eastAsia="Times New Roman" w:cs="Times New Roman"/>
          <w:b/>
          <w:lang w:eastAsia="it-IT"/>
        </w:rPr>
        <w:t>a) descrivere immobile, riferimenti catastali, indicare nominativi e C.F. di tutti i contitolari e le quote di ciascuno;</w:t>
      </w:r>
    </w:p>
    <w:p w14:paraId="3EBBF3E7">
      <w:pPr>
        <w:autoSpaceDE w:val="0"/>
        <w:autoSpaceDN w:val="0"/>
        <w:adjustRightInd w:val="0"/>
        <w:spacing w:after="0" w:line="360" w:lineRule="auto"/>
        <w:jc w:val="center"/>
        <w:rPr>
          <w:rFonts w:ascii="Times New Roman" w:hAnsi="Times New Roman" w:cs="Times New Roman"/>
          <w:color w:val="000000"/>
        </w:rPr>
      </w:pPr>
      <w:r>
        <w:rPr>
          <w:rFonts w:ascii="Times New Roman" w:hAnsi="Times New Roman" w:cs="Times New Roman"/>
          <w:b/>
          <w:bCs/>
          <w:color w:val="000000"/>
        </w:rPr>
        <w:t>FISSA</w:t>
      </w:r>
    </w:p>
    <w:p w14:paraId="4B88B7A3">
      <w:pPr>
        <w:autoSpaceDE w:val="0"/>
        <w:autoSpaceDN w:val="0"/>
        <w:adjustRightInd w:val="0"/>
        <w:spacing w:after="0" w:line="360" w:lineRule="auto"/>
        <w:jc w:val="both"/>
        <w:rPr>
          <w:rFonts w:ascii="Times New Roman" w:hAnsi="Times New Roman" w:cs="Times New Roman"/>
          <w:color w:val="000000"/>
        </w:rPr>
      </w:pPr>
      <w:r>
        <w:rPr>
          <w:rFonts w:ascii="Times New Roman" w:hAnsi="Times New Roman" w:cs="Times New Roman"/>
          <w:color w:val="000000"/>
        </w:rPr>
        <w:t xml:space="preserve">innanzi a sé quale giudice della divisione l’udienza del </w:t>
      </w:r>
      <w:r>
        <w:rPr>
          <w:rFonts w:ascii="Times New Roman" w:hAnsi="Times New Roman" w:cs="Times New Roman"/>
          <w:color w:val="000000"/>
          <w:highlight w:val="yellow"/>
        </w:rPr>
        <w:t>…(lasciare in bianco )</w:t>
      </w:r>
      <w:r>
        <w:rPr>
          <w:rFonts w:ascii="Times New Roman" w:hAnsi="Times New Roman" w:cs="Times New Roman"/>
          <w:color w:val="000000"/>
        </w:rPr>
        <w:t xml:space="preserve"> alle ore 9.30 per la comparizione nell’ambito del relativo processo contenzioso delle parti tutte, ivi compresi i creditori intervenuti, dei comproprietari e dei creditori iscritti e di coloro che hanno acquistato diritti sull’immobile come previsto dagli artt. 784 c.p.c. e 1113 comma 3° c.c. o dei loro eredi o successori a titolo particolare nella titolarità della quota sempre in virtù di un titolo trascritto; </w:t>
      </w:r>
    </w:p>
    <w:p w14:paraId="56F9D66F">
      <w:pPr>
        <w:autoSpaceDE w:val="0"/>
        <w:autoSpaceDN w:val="0"/>
        <w:adjustRightInd w:val="0"/>
        <w:spacing w:after="0" w:line="360" w:lineRule="auto"/>
        <w:jc w:val="center"/>
        <w:rPr>
          <w:rFonts w:ascii="Times New Roman" w:hAnsi="Times New Roman" w:cs="Times New Roman"/>
          <w:color w:val="000000"/>
        </w:rPr>
      </w:pPr>
      <w:r>
        <w:rPr>
          <w:rFonts w:ascii="Times New Roman" w:hAnsi="Times New Roman" w:cs="Times New Roman"/>
          <w:b/>
          <w:bCs/>
          <w:color w:val="000000"/>
        </w:rPr>
        <w:t>FISSA</w:t>
      </w:r>
    </w:p>
    <w:p w14:paraId="49A44195">
      <w:pPr>
        <w:autoSpaceDE w:val="0"/>
        <w:autoSpaceDN w:val="0"/>
        <w:adjustRightInd w:val="0"/>
        <w:spacing w:after="0" w:line="360" w:lineRule="auto"/>
        <w:jc w:val="both"/>
        <w:rPr>
          <w:rFonts w:ascii="Times New Roman" w:hAnsi="Times New Roman" w:cs="Times New Roman"/>
          <w:color w:val="000000"/>
        </w:rPr>
      </w:pPr>
      <w:r>
        <w:rPr>
          <w:rFonts w:ascii="Times New Roman" w:hAnsi="Times New Roman" w:cs="Times New Roman"/>
          <w:color w:val="000000"/>
        </w:rPr>
        <w:t xml:space="preserve">termine alla parte più diligente di 60 giorni liberi prima della predetta udienza per: </w:t>
      </w:r>
    </w:p>
    <w:p w14:paraId="3D74C220">
      <w:pPr>
        <w:pStyle w:val="4"/>
        <w:numPr>
          <w:ilvl w:val="0"/>
          <w:numId w:val="2"/>
        </w:numPr>
        <w:autoSpaceDE w:val="0"/>
        <w:autoSpaceDN w:val="0"/>
        <w:adjustRightInd w:val="0"/>
        <w:spacing w:after="243" w:line="360" w:lineRule="auto"/>
        <w:ind w:left="426"/>
        <w:jc w:val="both"/>
        <w:rPr>
          <w:rFonts w:ascii="Times New Roman" w:hAnsi="Times New Roman" w:cs="Times New Roman"/>
          <w:color w:val="000000"/>
        </w:rPr>
      </w:pPr>
      <w:r>
        <w:rPr>
          <w:rFonts w:ascii="Times New Roman" w:hAnsi="Times New Roman" w:cs="Times New Roman"/>
          <w:color w:val="000000"/>
        </w:rPr>
        <w:t>l’integrazione del contraddittorio nei confronti degli altri interessati (i</w:t>
      </w:r>
      <w:r>
        <w:rPr>
          <w:rFonts w:hint="default" w:ascii="Times New Roman" w:hAnsi="Times New Roman" w:cs="Times New Roman"/>
          <w:color w:val="000000"/>
          <w:lang w:val="it-IT"/>
        </w:rPr>
        <w:t xml:space="preserve"> comproprietari non comparsi, </w:t>
      </w:r>
      <w:bookmarkStart w:id="0" w:name="_GoBack"/>
      <w:bookmarkEnd w:id="0"/>
      <w:r>
        <w:rPr>
          <w:rFonts w:ascii="Times New Roman" w:hAnsi="Times New Roman" w:cs="Times New Roman"/>
          <w:color w:val="000000"/>
        </w:rPr>
        <w:t xml:space="preserve">i creditori iscritti non intervenuti, e i creditori iscritti dei condividenti, ai sensi dell’art. 1113 c.c.) mediante la notifica di questa ordinanza (il termine è da considerarsi perentorio in quanto concesso per integrazione del contraddittorio); </w:t>
      </w:r>
    </w:p>
    <w:p w14:paraId="43482D07">
      <w:pPr>
        <w:pStyle w:val="4"/>
        <w:numPr>
          <w:ilvl w:val="0"/>
          <w:numId w:val="2"/>
        </w:numPr>
        <w:autoSpaceDE w:val="0"/>
        <w:autoSpaceDN w:val="0"/>
        <w:adjustRightInd w:val="0"/>
        <w:spacing w:after="243" w:line="360" w:lineRule="auto"/>
        <w:ind w:left="426"/>
        <w:jc w:val="both"/>
        <w:rPr>
          <w:rFonts w:ascii="Times New Roman" w:hAnsi="Times New Roman" w:cs="Times New Roman"/>
          <w:color w:val="000000"/>
        </w:rPr>
      </w:pPr>
      <w:r>
        <w:rPr>
          <w:rFonts w:ascii="Times New Roman" w:hAnsi="Times New Roman" w:cs="Times New Roman"/>
          <w:color w:val="000000"/>
        </w:rPr>
        <w:t xml:space="preserve">la </w:t>
      </w:r>
      <w:r>
        <w:rPr>
          <w:rFonts w:ascii="Times New Roman" w:hAnsi="Times New Roman" w:cs="Times New Roman"/>
          <w:color w:val="000000"/>
          <w:u w:val="single"/>
        </w:rPr>
        <w:t>trascrizione del presente provvedimento</w:t>
      </w:r>
      <w:r>
        <w:rPr>
          <w:rFonts w:ascii="Times New Roman" w:hAnsi="Times New Roman" w:cs="Times New Roman"/>
          <w:color w:val="000000"/>
        </w:rPr>
        <w:t xml:space="preserve"> a favore e contro ciascuno dei comproprietari, compresi in esso il debitore, ai sensi degli artt. 1113 e 2646 c.c.; </w:t>
      </w:r>
    </w:p>
    <w:p w14:paraId="42F4327F">
      <w:pPr>
        <w:pStyle w:val="4"/>
        <w:numPr>
          <w:ilvl w:val="0"/>
          <w:numId w:val="2"/>
        </w:numPr>
        <w:autoSpaceDE w:val="0"/>
        <w:autoSpaceDN w:val="0"/>
        <w:adjustRightInd w:val="0"/>
        <w:spacing w:after="243" w:line="360" w:lineRule="auto"/>
        <w:ind w:left="426"/>
        <w:jc w:val="both"/>
        <w:rPr>
          <w:rFonts w:ascii="Times New Roman" w:hAnsi="Times New Roman" w:cs="Times New Roman"/>
          <w:color w:val="000000"/>
        </w:rPr>
      </w:pPr>
      <w:r>
        <w:rPr>
          <w:rFonts w:ascii="Times New Roman" w:hAnsi="Times New Roman" w:cs="Times New Roman"/>
          <w:color w:val="000000"/>
          <w:u w:val="single"/>
        </w:rPr>
        <w:t>l’iscrizione a ruolo contenzioso</w:t>
      </w:r>
      <w:r>
        <w:rPr>
          <w:rFonts w:ascii="Times New Roman" w:hAnsi="Times New Roman" w:cs="Times New Roman"/>
          <w:color w:val="000000"/>
        </w:rPr>
        <w:t xml:space="preserve"> della causa di divisione, inserendo nel fascicolo di ufficio copia in carta libera dell’istanza di vendita, del verbale dell’udienza del              , della presente ordinanza, della documentazione ipocatastale, della perizia redatta dallo stimatore, nonché fotocopia (leggibile) del frontespizio del fascicolo d’ufficio sempre relativo al presente procedimento; </w:t>
      </w:r>
    </w:p>
    <w:p w14:paraId="2D41FA85">
      <w:pPr>
        <w:pStyle w:val="4"/>
        <w:numPr>
          <w:ilvl w:val="0"/>
          <w:numId w:val="2"/>
        </w:numPr>
        <w:autoSpaceDE w:val="0"/>
        <w:autoSpaceDN w:val="0"/>
        <w:adjustRightInd w:val="0"/>
        <w:spacing w:after="243" w:line="360" w:lineRule="auto"/>
        <w:ind w:left="426"/>
        <w:jc w:val="both"/>
        <w:rPr>
          <w:rFonts w:ascii="Times New Roman" w:hAnsi="Times New Roman" w:cs="Times New Roman"/>
          <w:color w:val="000000"/>
        </w:rPr>
      </w:pPr>
      <w:r>
        <w:rPr>
          <w:rFonts w:ascii="Times New Roman" w:hAnsi="Times New Roman" w:cs="Times New Roman"/>
          <w:color w:val="000000"/>
        </w:rPr>
        <w:t xml:space="preserve">produrre in giudizio all’udienza su indicata </w:t>
      </w:r>
      <w:r>
        <w:rPr>
          <w:rFonts w:ascii="Times New Roman" w:hAnsi="Times New Roman" w:cs="Times New Roman"/>
          <w:color w:val="000000"/>
          <w:u w:val="single"/>
        </w:rPr>
        <w:t>documentazione ipotecaria ovvero relazione notarile</w:t>
      </w:r>
      <w:r>
        <w:rPr>
          <w:rFonts w:ascii="Times New Roman" w:hAnsi="Times New Roman" w:cs="Times New Roman"/>
          <w:color w:val="000000"/>
        </w:rPr>
        <w:t xml:space="preserve"> sostitutiva per il ventennio anteriore alla data odierna e sul nominativo di ciascuno dei comproprietari allo scopo di individuare e verificare quali siano i creditori iscritti e gli eventuali aventi causa dai comproprietari;  </w:t>
      </w:r>
    </w:p>
    <w:p w14:paraId="573485A0">
      <w:pPr>
        <w:autoSpaceDE w:val="0"/>
        <w:autoSpaceDN w:val="0"/>
        <w:adjustRightInd w:val="0"/>
        <w:spacing w:after="243" w:line="360" w:lineRule="auto"/>
        <w:ind w:left="66"/>
        <w:jc w:val="center"/>
        <w:rPr>
          <w:rFonts w:ascii="Times New Roman" w:hAnsi="Times New Roman" w:cs="Times New Roman"/>
          <w:color w:val="000000"/>
        </w:rPr>
      </w:pPr>
      <w:r>
        <w:rPr>
          <w:rFonts w:ascii="Times New Roman" w:hAnsi="Times New Roman" w:cs="Times New Roman"/>
          <w:b/>
          <w:bCs/>
          <w:color w:val="000000"/>
        </w:rPr>
        <w:t>ASSEGNA</w:t>
      </w:r>
    </w:p>
    <w:p w14:paraId="14F725A4">
      <w:pPr>
        <w:autoSpaceDE w:val="0"/>
        <w:autoSpaceDN w:val="0"/>
        <w:adjustRightInd w:val="0"/>
        <w:spacing w:after="243" w:line="360" w:lineRule="auto"/>
        <w:jc w:val="both"/>
        <w:rPr>
          <w:rFonts w:ascii="Times New Roman" w:hAnsi="Times New Roman" w:cs="Times New Roman"/>
          <w:color w:val="000000"/>
        </w:rPr>
      </w:pPr>
      <w:r>
        <w:rPr>
          <w:rFonts w:ascii="Times New Roman" w:hAnsi="Times New Roman" w:cs="Times New Roman"/>
          <w:color w:val="000000"/>
        </w:rPr>
        <w:t xml:space="preserve">termine fino a </w:t>
      </w:r>
      <w:r>
        <w:rPr>
          <w:rFonts w:ascii="Times New Roman" w:hAnsi="Times New Roman" w:cs="Times New Roman"/>
          <w:b/>
          <w:bCs/>
          <w:color w:val="000000"/>
        </w:rPr>
        <w:t>gg. 10</w:t>
      </w:r>
      <w:r>
        <w:rPr>
          <w:rFonts w:ascii="Times New Roman" w:hAnsi="Times New Roman" w:cs="Times New Roman"/>
          <w:color w:val="000000"/>
        </w:rPr>
        <w:t xml:space="preserve"> prima dell’udienza sopra indicata per il deposito delle comparse di costituzione nel giudizio di divisione, con l’avvertenza che il deposito oltre il termine comporta le decadenze di cui all’art. 167 c.p.c. e 38 c.p.c., che la difesa tecnica mediante avvocato è obbligatoria in tutti i giudizi davanti al tribunale, fatta eccezione per i casi previsti dall'articolo 86 o da leggi speciali, e che la parte, sussistendone i presupposti di legge, può presentare istanza per l'ammissione al patrocinio a spese dello Stato</w:t>
      </w:r>
    </w:p>
    <w:p w14:paraId="686BC83C">
      <w:pPr>
        <w:autoSpaceDE w:val="0"/>
        <w:autoSpaceDN w:val="0"/>
        <w:adjustRightInd w:val="0"/>
        <w:spacing w:after="0" w:line="360" w:lineRule="auto"/>
        <w:jc w:val="center"/>
        <w:rPr>
          <w:rFonts w:ascii="Times New Roman" w:hAnsi="Times New Roman" w:cs="Times New Roman"/>
          <w:b/>
          <w:bCs/>
          <w:color w:val="000000"/>
        </w:rPr>
      </w:pPr>
      <w:r>
        <w:rPr>
          <w:rFonts w:ascii="Times New Roman" w:hAnsi="Times New Roman" w:cs="Times New Roman"/>
          <w:b/>
          <w:bCs/>
          <w:color w:val="000000"/>
        </w:rPr>
        <w:t>AVVISA</w:t>
      </w:r>
    </w:p>
    <w:p w14:paraId="09EDA6D4">
      <w:pPr>
        <w:autoSpaceDE w:val="0"/>
        <w:autoSpaceDN w:val="0"/>
        <w:adjustRightInd w:val="0"/>
        <w:spacing w:after="0" w:line="360" w:lineRule="auto"/>
        <w:jc w:val="both"/>
        <w:rPr>
          <w:rFonts w:ascii="Times New Roman" w:hAnsi="Times New Roman" w:cs="Times New Roman"/>
          <w:b/>
          <w:bCs/>
          <w:color w:val="000000"/>
          <w:u w:val="single"/>
        </w:rPr>
      </w:pPr>
      <w:r>
        <w:rPr>
          <w:rFonts w:ascii="Times New Roman" w:hAnsi="Times New Roman" w:cs="Times New Roman"/>
          <w:b/>
          <w:bCs/>
          <w:color w:val="000000"/>
          <w:u w:val="single"/>
        </w:rPr>
        <w:t xml:space="preserve">le parti che, in caso di mancata instaurazione di quel giudizio nel termine indicato, la procedura relativamente ai beni oggetto di divisione sarà dichiarata estinta. </w:t>
      </w:r>
    </w:p>
    <w:p w14:paraId="7D25BE3F">
      <w:pPr>
        <w:autoSpaceDE w:val="0"/>
        <w:autoSpaceDN w:val="0"/>
        <w:adjustRightInd w:val="0"/>
        <w:spacing w:after="0" w:line="360" w:lineRule="auto"/>
        <w:jc w:val="both"/>
        <w:rPr>
          <w:rFonts w:ascii="Times New Roman" w:hAnsi="Times New Roman" w:cs="Times New Roman"/>
          <w:b/>
          <w:bCs/>
          <w:color w:val="000000"/>
          <w:u w:val="single"/>
        </w:rPr>
      </w:pPr>
      <w:r>
        <w:rPr>
          <w:rFonts w:ascii="Times New Roman" w:hAnsi="Times New Roman" w:cs="Times New Roman"/>
          <w:b/>
          <w:bCs/>
          <w:color w:val="000000"/>
          <w:u w:val="single"/>
        </w:rPr>
        <w:t>Avvisa i comproprietari che la procedura di divisione potrà comportare la vendita dell’intero immobile (ivi comprese le quote di loro proprietà).</w:t>
      </w:r>
    </w:p>
    <w:p w14:paraId="2C006FAC">
      <w:pPr>
        <w:autoSpaceDE w:val="0"/>
        <w:autoSpaceDN w:val="0"/>
        <w:adjustRightInd w:val="0"/>
        <w:spacing w:after="0" w:line="360" w:lineRule="auto"/>
        <w:jc w:val="both"/>
        <w:rPr>
          <w:rFonts w:ascii="Times New Roman" w:hAnsi="Times New Roman" w:cs="Times New Roman"/>
          <w:color w:val="000000"/>
        </w:rPr>
      </w:pPr>
      <w:r>
        <w:rPr>
          <w:rFonts w:ascii="Times New Roman" w:hAnsi="Times New Roman" w:cs="Times New Roman"/>
          <w:color w:val="000000"/>
        </w:rPr>
        <w:t>Invita sin d’ora le parti a verificare la possibilità di definizione transattiva della controversia in considerazione dell’entità del debito per il quale si procede.</w:t>
      </w:r>
    </w:p>
    <w:p w14:paraId="27C8EBD5">
      <w:pPr>
        <w:autoSpaceDE w:val="0"/>
        <w:autoSpaceDN w:val="0"/>
        <w:adjustRightInd w:val="0"/>
        <w:spacing w:after="0" w:line="360" w:lineRule="auto"/>
        <w:jc w:val="both"/>
        <w:rPr>
          <w:rFonts w:ascii="Times New Roman" w:hAnsi="Times New Roman" w:cs="Times New Roman"/>
          <w:color w:val="000000"/>
        </w:rPr>
      </w:pPr>
      <w:r>
        <w:rPr>
          <w:rFonts w:ascii="Times New Roman" w:hAnsi="Times New Roman" w:cs="Times New Roman"/>
          <w:color w:val="000000"/>
        </w:rPr>
        <w:t>Si comunichi alle parti e agli ausiliari.</w:t>
      </w:r>
    </w:p>
    <w:p w14:paraId="620C15C1">
      <w:pPr>
        <w:autoSpaceDE w:val="0"/>
        <w:autoSpaceDN w:val="0"/>
        <w:adjustRightInd w:val="0"/>
        <w:spacing w:after="0" w:line="360" w:lineRule="auto"/>
        <w:jc w:val="both"/>
        <w:rPr>
          <w:rFonts w:ascii="Times New Roman" w:hAnsi="Times New Roman" w:cs="Times New Roman"/>
          <w:color w:val="000000"/>
        </w:rPr>
      </w:pPr>
      <w:r>
        <w:rPr>
          <w:rFonts w:ascii="Times New Roman" w:hAnsi="Times New Roman" w:cs="Times New Roman"/>
          <w:color w:val="000000"/>
        </w:rPr>
        <w:t xml:space="preserve">Brindisi, $$data_decisione$$ </w:t>
      </w:r>
    </w:p>
    <w:p w14:paraId="04AB82FB">
      <w:pPr>
        <w:spacing w:line="360" w:lineRule="auto"/>
        <w:ind w:right="849"/>
        <w:contextualSpacing/>
        <w:rPr>
          <w:rFonts w:ascii="Times New Roman" w:hAnsi="Times New Roman" w:eastAsia="Arial Unicode MS" w:cs="Times New Roman"/>
        </w:rPr>
      </w:pPr>
      <w:r>
        <w:rPr>
          <w:rFonts w:ascii="Times New Roman" w:hAnsi="Times New Roman" w:eastAsia="Arial Unicode MS" w:cs="Times New Roman"/>
        </w:rPr>
        <w:t xml:space="preserve">                                                                               Il Giudice dell’Esecuzione </w:t>
      </w:r>
    </w:p>
    <w:p w14:paraId="42CC7FF2">
      <w:pPr>
        <w:spacing w:line="360" w:lineRule="auto"/>
        <w:ind w:right="849"/>
        <w:contextualSpacing/>
        <w:rPr>
          <w:rFonts w:ascii="Times New Roman" w:hAnsi="Times New Roman" w:eastAsia="Calibri" w:cs="Times New Roman"/>
          <w:i/>
          <w:iCs/>
        </w:rPr>
      </w:pPr>
      <w:r>
        <w:rPr>
          <w:rFonts w:ascii="Times New Roman" w:hAnsi="Times New Roman" w:eastAsia="Arial Unicode MS" w:cs="Times New Roman"/>
          <w:i/>
          <w:iCs/>
        </w:rPr>
        <w:t xml:space="preserve">                                                              dott. $$nome_giudice$$ $$cognome_giudice$$ </w:t>
      </w:r>
    </w:p>
    <w:p w14:paraId="3A553990">
      <w:pPr>
        <w:spacing w:line="360" w:lineRule="auto"/>
        <w:ind w:right="849"/>
        <w:rPr>
          <w:rFonts w:ascii="Times New Roman" w:hAnsi="Times New Roman" w:cs="Times New Roman"/>
        </w:rPr>
      </w:pPr>
    </w:p>
    <w:p w14:paraId="728E0A33">
      <w:pPr>
        <w:spacing w:line="360" w:lineRule="auto"/>
        <w:ind w:right="849"/>
        <w:rPr>
          <w:rFonts w:ascii="Times New Roman" w:hAnsi="Times New Roman" w:cs="Times New Roman"/>
        </w:rPr>
      </w:pPr>
    </w:p>
    <w:p w14:paraId="4E2A2BE8">
      <w:pPr>
        <w:spacing w:line="360" w:lineRule="auto"/>
      </w:pPr>
    </w:p>
    <w:p w14:paraId="42E333FB">
      <w:pPr>
        <w:spacing w:line="360" w:lineRule="auto"/>
      </w:pPr>
    </w:p>
    <w:sectPr>
      <w:pgSz w:w="11906" w:h="16838"/>
      <w:pgMar w:top="1417" w:right="2125" w:bottom="1134"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Arial Unicode MS">
    <w:panose1 w:val="020B0604020202020204"/>
    <w:charset w:val="86"/>
    <w:family w:val="roman"/>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32B92"/>
    <w:multiLevelType w:val="multilevel"/>
    <w:tmpl w:val="14732B92"/>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7A5E3DCD"/>
    <w:multiLevelType w:val="multilevel"/>
    <w:tmpl w:val="7A5E3DCD"/>
    <w:lvl w:ilvl="0" w:tentative="0">
      <w:start w:val="0"/>
      <w:numFmt w:val="bullet"/>
      <w:lvlText w:val="-"/>
      <w:lvlJc w:val="left"/>
      <w:pPr>
        <w:ind w:left="720" w:hanging="360"/>
      </w:pPr>
      <w:rPr>
        <w:rFonts w:hint="default" w:ascii="Times New Roman" w:hAnsi="Times New Roman" w:eastAsia="Arial Unicode MS" w:cs="Times New Roman"/>
      </w:rPr>
    </w:lvl>
    <w:lvl w:ilvl="1" w:tentative="0">
      <w:start w:val="0"/>
      <w:numFmt w:val="bullet"/>
      <w:lvlText w:val=""/>
      <w:lvlJc w:val="left"/>
      <w:pPr>
        <w:ind w:left="1440" w:hanging="360"/>
      </w:pPr>
      <w:rPr>
        <w:rFonts w:hint="default" w:ascii="Times New Roman" w:hAnsi="Times New Roman" w:cs="Times New Roman" w:eastAsiaTheme="minorHAns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283"/>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1FC"/>
    <w:rsid w:val="000B375E"/>
    <w:rsid w:val="00516E4C"/>
    <w:rsid w:val="00621281"/>
    <w:rsid w:val="00664AC6"/>
    <w:rsid w:val="0066537C"/>
    <w:rsid w:val="0074239F"/>
    <w:rsid w:val="007D2912"/>
    <w:rsid w:val="007F6CF0"/>
    <w:rsid w:val="00916C21"/>
    <w:rsid w:val="00950F7E"/>
    <w:rsid w:val="00A641FC"/>
    <w:rsid w:val="00C94BA5"/>
    <w:rsid w:val="28757832"/>
    <w:rsid w:val="652F0DE7"/>
    <w:rsid w:val="703E57F8"/>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it-IT"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34"/>
    <w:pPr>
      <w:ind w:left="720"/>
      <w:contextualSpacing/>
    </w:pPr>
  </w:style>
  <w:style w:type="paragraph" w:customStyle="1" w:styleId="5">
    <w:name w:val="Default"/>
    <w:uiPriority w:val="0"/>
    <w:pPr>
      <w:autoSpaceDE w:val="0"/>
      <w:autoSpaceDN w:val="0"/>
      <w:adjustRightInd w:val="0"/>
      <w:spacing w:after="0" w:line="240" w:lineRule="auto"/>
    </w:pPr>
    <w:rPr>
      <w:rFonts w:ascii="Symbol" w:hAnsi="Symbol" w:cs="Symbol" w:eastAsiaTheme="minorHAnsi"/>
      <w:color w:val="000000"/>
      <w:sz w:val="24"/>
      <w:szCs w:val="24"/>
      <w:lang w:val="it-IT"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860</Words>
  <Characters>4903</Characters>
  <Lines>40</Lines>
  <Paragraphs>11</Paragraphs>
  <TotalTime>2</TotalTime>
  <ScaleCrop>false</ScaleCrop>
  <LinksUpToDate>false</LinksUpToDate>
  <CharactersWithSpaces>5752</CharactersWithSpaces>
  <Application>WPS Office_12.2.0.17119_F1E327BC-269C-435d-A152-05C5408002CA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2025-06-12T11:19:00Z</dcterms:created>
  <dc:creator>Ramona Resta</dc:creator>
  <cp:lastModifiedBy>marisa.antelmi01</cp:lastModifiedBy>
  <dcterms:modified xsi:type="dcterms:W3CDTF">2025-07-14T07:13:34Z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1033-12.2.0.17119</vt:lpwstr>
  </property>
  <property fmtid="{D5CDD505-2E9C-101B-9397-08002B2CF9AE}" pid="3" name="ICV">
    <vt:lpwstr>997B730AFE494351B2DF6AD709150B60_12</vt:lpwstr>
  </property>
</Properties>
</file>